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67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67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67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 установлении размера предельной стоимости услуг и (или) работ по капитальному ремонту общего имущества в многоквартирном доме, которая может оплачиваться региональным оператором за счет средств фонда капитального ремонта, сформированного исходя из минима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льного размера взноса с учетом средств государственной поддержки, муниципальной поддержки капитального ремонта, на 2024 - 2026 годы на территории Еврейской автономной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ремонта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6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7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190 Жилищного кодекса Российской Федерации и законом Еврейской автономной области от 28.06.201 № 324-ОЗ «О создании системы проведения капитального ремонта общего имущества в многоквартирных домах, расположенных на территории Евре</w:t>
      </w:r>
      <w:r>
        <w:rPr>
          <w:rFonts w:ascii="Times New Roman" w:hAnsi="Times New Roman" w:cs="Times New Roman"/>
          <w:sz w:val="28"/>
          <w:szCs w:val="28"/>
        </w:rPr>
        <w:t xml:space="preserve">йской автономной области» правительство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7"/>
        <w:ind w:firstLine="708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81"/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ПОСТАНОВЛЯЕТ: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78"/>
        <w:ind w:firstLine="708"/>
        <w:jc w:val="both"/>
        <w:spacing w:line="276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Установить размер предельной стоимости услуг и (или) работ по капитальному ремонту общего имущества в многоквартирном доме, которая может оплачиваться региональным оператором за счет средств фонда капитального ремонта, сформированного исходя из минимального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размера взноса с учетом средств государственной поддержки, муниципальной поддержки капитального ремонта, на 2024 - 2026 годы на территории Еврейской автономной области согласно приложению к настоящему постановлению.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678"/>
        <w:ind w:firstLine="708"/>
        <w:jc w:val="both"/>
        <w:spacing w:line="276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2. Настоящее постановление вступает в силу со дня его официального опубликования и распространяется на правоотношения, возникшие </w:t>
        <w:br/>
        <w:t xml:space="preserve">с 1 января 2024 года.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</w:p>
    <w:p>
      <w:pPr>
        <w:pStyle w:val="681"/>
        <w:ind w:firstLine="708"/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81"/>
        <w:ind w:firstLine="708"/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right="72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Губернатор области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Р.Э. Гольдштэйн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</w:p>
    <w:p>
      <w:pPr>
        <w:sectPr>
          <w:headerReference w:type="default" r:id="rId8"/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pgNumType w:start="1"/>
          <w:cols w:num="1" w:sep="0" w:space="708" w:equalWidth="1"/>
          <w:docGrid w:linePitch="360"/>
          <w:titlePg/>
        </w:sectPr>
      </w:pPr>
      <w:r/>
      <w:r/>
    </w:p>
    <w:p>
      <w:pPr>
        <w:pStyle w:val="678"/>
        <w:jc w:val="both"/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                                                                              Приложение</w:t>
      </w:r>
      <w:r/>
    </w:p>
    <w:p>
      <w:pPr>
        <w:pStyle w:val="678"/>
        <w:jc w:val="center"/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                                                                             к постановлению правительства</w:t>
      </w:r>
      <w:r/>
    </w:p>
    <w:p>
      <w:pPr>
        <w:pStyle w:val="678"/>
        <w:jc w:val="center"/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                                                                            Еврейской автономной области</w:t>
      </w:r>
      <w:r/>
    </w:p>
    <w:p>
      <w:pPr>
        <w:pStyle w:val="678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                                                                   от _____________ № ____ 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</w:p>
    <w:p>
      <w:pPr>
        <w:pStyle w:val="678"/>
        <w:jc w:val="center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</w:p>
    <w:p>
      <w:pPr>
        <w:pStyle w:val="678"/>
        <w:jc w:val="center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/>
      <w:bookmarkStart w:id="0" w:name="P36"/>
      <w:r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Размер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67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предельной стоимости услуг и (или) работ по капитальному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ремонту общего имущества в многоквартирном доме, которая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может оплачиваться региональным оператором за счет средств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фонда капитального ремонта, сформированного исходя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из минимального размера взноса с учетом средств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67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государственной поддержки, муниципальной поддержки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67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капитального ремонта, на 2023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–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2026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годы на территории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67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врейской автономной области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67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tbl>
      <w:tblPr>
        <w:tblStyle w:val="680"/>
        <w:tblW w:w="9861" w:type="dxa"/>
        <w:tblLayout w:type="fixed"/>
        <w:tblLook w:val="04A0" w:firstRow="1" w:lastRow="0" w:firstColumn="1" w:lastColumn="0" w:noHBand="0" w:noVBand="1"/>
      </w:tblPr>
      <w:tblGrid>
        <w:gridCol w:w="675"/>
        <w:gridCol w:w="22"/>
        <w:gridCol w:w="2201"/>
        <w:gridCol w:w="22"/>
        <w:gridCol w:w="1865"/>
        <w:gridCol w:w="22"/>
        <w:gridCol w:w="1821"/>
        <w:gridCol w:w="22"/>
        <w:gridCol w:w="1795"/>
        <w:gridCol w:w="25"/>
        <w:gridCol w:w="23"/>
        <w:gridCol w:w="18"/>
        <w:gridCol w:w="1328"/>
        <w:gridCol w:w="22"/>
      </w:tblGrid>
      <w:tr>
        <w:tblPrEx/>
        <w:trPr/>
        <w:tc>
          <w:tcPr>
            <w:gridSpan w:val="2"/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п/п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tcW w:w="222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Наименование услуг и (или) работ по капитальному ремонту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7"/>
            <w:tcW w:w="557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Размер предельной стоимости, руб./ед.изм.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3"/>
            <w:tcW w:w="13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W w:w="69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22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8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Многоквартирные дома до 3-х этажей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Многоквартирные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4-х этаж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ные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дома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3"/>
            <w:tcW w:w="184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Многоквартирные дома от 5-ти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до 6-ти этажей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3"/>
            <w:tcW w:w="136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gridSpan w:val="2"/>
            <w:tcW w:w="6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12"/>
            <w:tcW w:w="916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ru-RU"/>
              </w:rPr>
              <w:t xml:space="preserve">Ремонт внутридомовых инженерных систем электро-, тепло-, газо-, водоснабжения, водоотведения с учетом установки коллективных (общедомовых) приборов учета потребления ресурсов, необходимых для предоставления коммунальных услуг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W w:w="69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1.1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gridSpan w:val="2"/>
            <w:tcW w:w="222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ремонт системы электроснабжения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gridSpan w:val="2"/>
            <w:tcW w:w="188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 xml:space="preserve">4</w:t>
            </w: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 xml:space="preserve">683</w:t>
            </w: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 xml:space="preserve">,</w:t>
            </w: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 xml:space="preserve">87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gridSpan w:val="2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809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97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gridSpan w:val="3"/>
            <w:tcW w:w="18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 xml:space="preserve">3</w:t>
            </w: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 xml:space="preserve">190</w:t>
            </w: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 xml:space="preserve">,</w:t>
            </w: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 xml:space="preserve">49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gridSpan w:val="3"/>
            <w:tcW w:w="1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м</w:t>
            </w:r>
            <w:r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 xml:space="preserve">2</w:t>
            </w:r>
            <w:r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общей площади жилых и нежилых помещений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W w:w="69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1.2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gridSpan w:val="2"/>
            <w:tcW w:w="222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ремонт системы теплоснабжения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gridSpan w:val="2"/>
            <w:tcW w:w="188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 xml:space="preserve">5 187,79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gridSpan w:val="2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4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997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77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gridSpan w:val="3"/>
            <w:tcW w:w="18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 xml:space="preserve">3</w:t>
            </w: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 xml:space="preserve">931</w:t>
            </w: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 xml:space="preserve">,</w:t>
            </w: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 xml:space="preserve">13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gridSpan w:val="3"/>
            <w:tcW w:w="1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м</w:t>
            </w:r>
            <w:r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 xml:space="preserve">2</w:t>
            </w:r>
            <w:r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общей площади жилых и нежилых помещений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blPrEx/>
        <w:trPr>
          <w:trHeight w:val="250"/>
        </w:trPr>
        <w:tc>
          <w:tcPr>
            <w:gridSpan w:val="2"/>
            <w:tcW w:w="69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1.3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gridSpan w:val="2"/>
            <w:tcW w:w="222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р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емонт системы теплоснабжения с централизованным узлом учета тепловой энергии и с автоматизированным индивидуальным тепловым пунктом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gridSpan w:val="2"/>
            <w:tcW w:w="188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1 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460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61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gridSpan w:val="2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3 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412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12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gridSpan w:val="3"/>
            <w:tcW w:w="18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 xml:space="preserve">5</w:t>
            </w: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 xml:space="preserve"> 363</w:t>
            </w: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 xml:space="preserve">,</w:t>
            </w: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 xml:space="preserve">63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gridSpan w:val="3"/>
            <w:tcW w:w="1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м</w:t>
            </w:r>
            <w:r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 xml:space="preserve">2</w:t>
            </w:r>
            <w:r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общей площади жилых и нежилых помещений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W w:w="69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1.4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gridSpan w:val="2"/>
            <w:tcW w:w="222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ремонт системы горячего водоснабжения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gridSpan w:val="2"/>
            <w:tcW w:w="188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 xml:space="preserve">1 835</w:t>
            </w: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 xml:space="preserve">,</w:t>
            </w: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 xml:space="preserve">80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gridSpan w:val="2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61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72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gridSpan w:val="3"/>
            <w:tcW w:w="18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 xml:space="preserve">1</w:t>
            </w: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 xml:space="preserve">1</w:t>
            </w: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 xml:space="preserve">82</w:t>
            </w: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 xml:space="preserve">,</w:t>
            </w: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 xml:space="preserve">67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gridSpan w:val="3"/>
            <w:tcW w:w="1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м</w:t>
            </w:r>
            <w:r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 xml:space="preserve">2</w:t>
            </w:r>
            <w:r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общей площади жилых и нежилых помещений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W w:w="6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1.5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gridSpan w:val="2"/>
            <w:tcW w:w="222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ремонт системы горячего водоснабжения (с установкой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 или заменой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водонагревателя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 системы горячего водоснабжения (в составе общего имущества), включая регулятор температуры и другое необходимое оборудование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, согласно техническим условиям теплоснабжающей организации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)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gridSpan w:val="2"/>
            <w:tcW w:w="188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 xml:space="preserve">1 3</w:t>
            </w: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 xml:space="preserve">66</w:t>
            </w: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 xml:space="preserve">,</w:t>
            </w: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 xml:space="preserve">54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gridSpan w:val="2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1 4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7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5,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64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gridSpan w:val="3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 xml:space="preserve">1 5</w:t>
            </w: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 xml:space="preserve">84</w:t>
            </w: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 xml:space="preserve">,</w:t>
            </w: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 xml:space="preserve">72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gridSpan w:val="3"/>
            <w:tcW w:w="13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м</w:t>
            </w:r>
            <w:r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 xml:space="preserve">2</w:t>
            </w:r>
            <w:r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общей площади жилых и нежилых помещений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W w:w="67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1.6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gridSpan w:val="2"/>
            <w:tcW w:w="222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ремонт системы холодного водоснабжения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gridSpan w:val="2"/>
            <w:tcW w:w="188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 xml:space="preserve">2 </w:t>
            </w: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 xml:space="preserve">419</w:t>
            </w: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 xml:space="preserve">,</w:t>
            </w: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 xml:space="preserve">20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gridSpan w:val="2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114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66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gridSpan w:val="3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 xml:space="preserve">824</w:t>
            </w: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 xml:space="preserve">,</w:t>
            </w: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 xml:space="preserve">53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gridSpan w:val="3"/>
            <w:tcW w:w="13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м</w:t>
            </w:r>
            <w:r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 xml:space="preserve">2</w:t>
            </w:r>
            <w:r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общей площади жилых и нежилых помещений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W w:w="67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1.7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gridSpan w:val="2"/>
            <w:tcW w:w="222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ремонт системы водоотведения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gridSpan w:val="2"/>
            <w:tcW w:w="188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 xml:space="preserve">2 </w:t>
            </w: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 xml:space="preserve">872</w:t>
            </w: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 xml:space="preserve">,</w:t>
            </w: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 xml:space="preserve">71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gridSpan w:val="2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6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8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2,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gridSpan w:val="3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 xml:space="preserve">1 439</w:t>
            </w: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 xml:space="preserve">,</w:t>
            </w: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 xml:space="preserve">99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gridSpan w:val="3"/>
            <w:tcW w:w="13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м</w:t>
            </w:r>
            <w:r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 xml:space="preserve">2</w:t>
            </w:r>
            <w:r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общей площади жилых и нежилых помещений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W w:w="67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1.8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gridSpan w:val="2"/>
            <w:tcW w:w="2223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ремонт системы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газо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снабжения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88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 xml:space="preserve">15</w:t>
            </w: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 xml:space="preserve">9</w:t>
            </w: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 xml:space="preserve">,</w:t>
            </w: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 xml:space="preserve">18</w:t>
            </w: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26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64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gridSpan w:val="3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 xml:space="preserve">2</w:t>
            </w: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 xml:space="preserve">94</w:t>
            </w: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 xml:space="preserve">,</w:t>
            </w: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 xml:space="preserve">11</w:t>
            </w: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r>
          </w:p>
        </w:tc>
        <w:tc>
          <w:tcPr>
            <w:gridSpan w:val="3"/>
            <w:tcW w:w="13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м</w:t>
            </w:r>
            <w:r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 xml:space="preserve">2</w:t>
            </w:r>
            <w:r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общей площади жилых и нежилых помещений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tcW w:w="67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gridSpan w:val="12"/>
            <w:tcW w:w="91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реконструкция крыши, в том числе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W w:w="67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2.1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gridSpan w:val="2"/>
            <w:tcW w:w="222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р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емонт кр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ыши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скатной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gridSpan w:val="2"/>
            <w:tcW w:w="188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 xml:space="preserve">12 </w:t>
            </w: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 xml:space="preserve">950</w:t>
            </w: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 xml:space="preserve">,</w:t>
            </w: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 xml:space="preserve">04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gridSpan w:val="2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764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59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gridSpan w:val="3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 xml:space="preserve">5</w:t>
            </w: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 xml:space="preserve">157</w:t>
            </w: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 xml:space="preserve">,</w:t>
            </w: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 xml:space="preserve">76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gridSpan w:val="3"/>
            <w:tcW w:w="13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м</w:t>
            </w:r>
            <w:r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 xml:space="preserve">2</w:t>
            </w:r>
            <w:r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общей площади жилых и нежилых помещений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W w:w="67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2.2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gridSpan w:val="2"/>
            <w:tcW w:w="222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р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емонт кр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ыши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плоской (рулонной)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gridSpan w:val="2"/>
            <w:tcW w:w="188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909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20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gridSpan w:val="2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1 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930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41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gridSpan w:val="3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 xml:space="preserve">2 </w:t>
            </w: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 xml:space="preserve">951</w:t>
            </w: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 xml:space="preserve">,</w:t>
            </w: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 xml:space="preserve">63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gridSpan w:val="3"/>
            <w:tcW w:w="13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м</w:t>
            </w:r>
            <w:r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 xml:space="preserve">2</w:t>
            </w:r>
            <w:r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общей площади жилых и нежилых помещений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W w:w="67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gridSpan w:val="2"/>
            <w:tcW w:w="222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 xml:space="preserve">Ремонт подвальных помещений, относящихся к общему имуществу в многоквартирном доме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gridSpan w:val="2"/>
            <w:tcW w:w="188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 xml:space="preserve">1</w:t>
            </w: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 xml:space="preserve">1</w:t>
            </w: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 xml:space="preserve">261</w:t>
            </w: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 xml:space="preserve">,</w:t>
            </w: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 xml:space="preserve">69</w:t>
            </w: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gridSpan w:val="2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12 145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41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gridSpan w:val="3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3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029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14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gridSpan w:val="3"/>
            <w:tcW w:w="13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м</w:t>
            </w:r>
            <w:r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 xml:space="preserve">2</w:t>
            </w:r>
            <w:r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общей площади жилых и нежилых помещений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W w:w="67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4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gridSpan w:val="2"/>
            <w:tcW w:w="222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Утепление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 и (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или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)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 ремонт фасада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gridSpan w:val="2"/>
            <w:tcW w:w="188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 xml:space="preserve">1</w:t>
            </w: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 xml:space="preserve">5</w:t>
            </w: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 xml:space="preserve">592</w:t>
            </w: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 xml:space="preserve">,</w:t>
            </w: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 xml:space="preserve">31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gridSpan w:val="2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3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538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61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gridSpan w:val="3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484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89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gridSpan w:val="3"/>
            <w:tcW w:w="13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м</w:t>
            </w:r>
            <w:r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 xml:space="preserve">2</w:t>
            </w:r>
            <w:r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общей площади жилых и нежилых помещений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W w:w="67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5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gridSpan w:val="2"/>
            <w:tcW w:w="222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Усиление межэтажных, чердачных перекрытий многоквартирного дома в случае, если необходимость их усиления установлена специализированной организацией, проводившей обследование многоквартирного дома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gridSpan w:val="2"/>
            <w:tcW w:w="188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 xml:space="preserve">3</w:t>
            </w: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 xml:space="preserve">604</w:t>
            </w: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 xml:space="preserve">,</w:t>
            </w: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 xml:space="preserve">97</w:t>
            </w: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gridSpan w:val="2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703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,7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3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gridSpan w:val="3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1 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987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70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gridSpan w:val="3"/>
            <w:tcW w:w="13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м</w:t>
            </w:r>
            <w:r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 xml:space="preserve">2</w:t>
            </w:r>
            <w:r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общей площади жилых и нежилых помещений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W w:w="67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6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gridSpan w:val="2"/>
            <w:tcW w:w="222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Ремонт фундамента многоквартирного дома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gridSpan w:val="2"/>
            <w:tcW w:w="188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2 799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26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gridSpan w:val="2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099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44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gridSpan w:val="3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 xml:space="preserve">1 </w:t>
            </w: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 xml:space="preserve">679</w:t>
            </w: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 xml:space="preserve">,</w:t>
            </w: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 xml:space="preserve">55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gridSpan w:val="3"/>
            <w:tcW w:w="13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м</w:t>
            </w:r>
            <w:r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 xml:space="preserve">2</w:t>
            </w:r>
            <w:r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общей площади жилых и нежилых помещений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W w:w="67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7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gridSpan w:val="2"/>
            <w:tcW w:w="222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Ремонт, замена, модернизация лифтов, ремонт лифтовых шахт, машинных и блочных помещений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gridSpan w:val="10"/>
            <w:tcW w:w="69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н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а основании заключения экспертной организации по результатам экспертного обследования лифта, отработавшего нормативный срок службы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W w:w="67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8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gridSpan w:val="2"/>
            <w:tcW w:w="222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Разработка проектной документации, проведение государственной экспертизы проекта и проверка достоверности определения смет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ной стоимости проектной документации (в случае, если проведение государственной экспертизы проекта и проверка достоверности определения сметной стоимости проектной документации необходимы в соответствии с законодательством о градостроительной деятельности)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gridSpan w:val="9"/>
            <w:tcW w:w="56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согласно сметному расчету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ассчитывается в соответствии с Положением об организации и проведении государственной экспертизы проектной документации и результатов инженерных изысканий, утвержденным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П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остановлением Правительства Российской Федерации от 05.03.2007 № 145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3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м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  <w:lang w:eastAsia="ru-RU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общей площади жилых и нежилых помещений</w:t>
            </w:r>
            <w:bookmarkEnd w:id="1"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W w:w="67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9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gridSpan w:val="2"/>
            <w:tcW w:w="222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Осуществление строительного контроля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gridSpan w:val="6"/>
            <w:tcW w:w="55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согласно сметному расчету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р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ассчитывается в соответствии с Положением о проведении строительного контроля при осуществлении строительства, реконструкции и капитального ремонта объектов капитального строительства, утвержденным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П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остановлением Правительства Российской Федерации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от 21.06.2010 № 468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gridSpan w:val="4"/>
            <w:tcW w:w="13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м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  <w:lang w:eastAsia="ru-RU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общей площади жилых и нежилых помещений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pStyle w:val="681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8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704673835"/>
      <w:docPartObj>
        <w:docPartGallery w:val="Page Numbers (Top of Page)"/>
        <w:docPartUnique w:val="true"/>
      </w:docPartObj>
      <w:rPr/>
    </w:sdtPr>
    <w:sdtContent>
      <w:p>
        <w:pPr>
          <w:pStyle w:val="68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3</w:t>
        </w:r>
        <w:r>
          <w:fldChar w:fldCharType="end"/>
        </w:r>
        <w:r/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3"/>
    <w:next w:val="67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3"/>
    <w:next w:val="67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3"/>
    <w:next w:val="67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3"/>
    <w:next w:val="67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3"/>
    <w:next w:val="67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3"/>
    <w:next w:val="67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3"/>
    <w:next w:val="67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3"/>
    <w:next w:val="67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3"/>
    <w:next w:val="67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3"/>
    <w:uiPriority w:val="34"/>
    <w:qFormat/>
    <w:pPr>
      <w:contextualSpacing/>
      <w:ind w:left="720"/>
    </w:pPr>
  </w:style>
  <w:style w:type="paragraph" w:styleId="34">
    <w:name w:val="Title"/>
    <w:basedOn w:val="673"/>
    <w:next w:val="67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4"/>
    <w:link w:val="34"/>
    <w:uiPriority w:val="10"/>
    <w:rPr>
      <w:sz w:val="48"/>
      <w:szCs w:val="48"/>
    </w:rPr>
  </w:style>
  <w:style w:type="paragraph" w:styleId="36">
    <w:name w:val="Subtitle"/>
    <w:basedOn w:val="673"/>
    <w:next w:val="67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4"/>
    <w:link w:val="36"/>
    <w:uiPriority w:val="11"/>
    <w:rPr>
      <w:sz w:val="24"/>
      <w:szCs w:val="24"/>
    </w:rPr>
  </w:style>
  <w:style w:type="paragraph" w:styleId="38">
    <w:name w:val="Quote"/>
    <w:basedOn w:val="673"/>
    <w:next w:val="67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3"/>
    <w:next w:val="67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4"/>
    <w:link w:val="682"/>
    <w:uiPriority w:val="99"/>
  </w:style>
  <w:style w:type="character" w:styleId="45">
    <w:name w:val="Footer Char"/>
    <w:basedOn w:val="674"/>
    <w:link w:val="684"/>
    <w:uiPriority w:val="99"/>
  </w:style>
  <w:style w:type="paragraph" w:styleId="46">
    <w:name w:val="Caption"/>
    <w:basedOn w:val="673"/>
    <w:next w:val="67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4"/>
    <w:uiPriority w:val="99"/>
  </w:style>
  <w:style w:type="table" w:styleId="49">
    <w:name w:val="Table Grid Light"/>
    <w:basedOn w:val="6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4"/>
    <w:uiPriority w:val="99"/>
    <w:unhideWhenUsed/>
    <w:rPr>
      <w:vertAlign w:val="superscript"/>
    </w:rPr>
  </w:style>
  <w:style w:type="paragraph" w:styleId="178">
    <w:name w:val="endnote text"/>
    <w:basedOn w:val="67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4"/>
    <w:uiPriority w:val="99"/>
    <w:semiHidden/>
    <w:unhideWhenUsed/>
    <w:rPr>
      <w:vertAlign w:val="superscript"/>
    </w:rPr>
  </w:style>
  <w:style w:type="paragraph" w:styleId="181">
    <w:name w:val="toc 1"/>
    <w:basedOn w:val="673"/>
    <w:next w:val="67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3"/>
    <w:next w:val="67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3"/>
    <w:next w:val="67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3"/>
    <w:next w:val="67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3"/>
    <w:next w:val="67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3"/>
    <w:next w:val="67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3"/>
    <w:next w:val="67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3"/>
    <w:next w:val="67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3"/>
    <w:next w:val="67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3"/>
    <w:next w:val="673"/>
    <w:uiPriority w:val="99"/>
    <w:unhideWhenUsed/>
    <w:pPr>
      <w:spacing w:after="0" w:afterAutospacing="0"/>
    </w:pPr>
  </w:style>
  <w:style w:type="paragraph" w:styleId="673" w:default="1">
    <w:name w:val="Normal"/>
    <w:qFormat/>
  </w:style>
  <w:style w:type="character" w:styleId="674" w:default="1">
    <w:name w:val="Default Paragraph Font"/>
    <w:uiPriority w:val="1"/>
    <w:semiHidden/>
    <w:unhideWhenUsed/>
  </w:style>
  <w:style w:type="table" w:styleId="67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6" w:default="1">
    <w:name w:val="No List"/>
    <w:uiPriority w:val="99"/>
    <w:semiHidden/>
    <w:unhideWhenUsed/>
  </w:style>
  <w:style w:type="paragraph" w:styleId="677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678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679" w:customStyle="1">
    <w:name w:val="ConsPlusTitlePage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table" w:styleId="680">
    <w:name w:val="Table Grid"/>
    <w:basedOn w:val="67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81">
    <w:name w:val="No Spacing"/>
    <w:uiPriority w:val="1"/>
    <w:qFormat/>
    <w:pPr>
      <w:spacing w:after="0" w:line="240" w:lineRule="auto"/>
    </w:pPr>
  </w:style>
  <w:style w:type="paragraph" w:styleId="682">
    <w:name w:val="Header"/>
    <w:basedOn w:val="673"/>
    <w:link w:val="68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3" w:customStyle="1">
    <w:name w:val="Верхний колонтитул Знак"/>
    <w:basedOn w:val="674"/>
    <w:link w:val="682"/>
    <w:uiPriority w:val="99"/>
  </w:style>
  <w:style w:type="paragraph" w:styleId="684">
    <w:name w:val="Footer"/>
    <w:basedOn w:val="673"/>
    <w:link w:val="68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5" w:customStyle="1">
    <w:name w:val="Нижний колонтитул Знак"/>
    <w:basedOn w:val="674"/>
    <w:link w:val="684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C7A71-D8CD-4D41-B04D-9102278AE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Архитектура ЕАО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Макеева Ольга Леонидовна</dc:creator>
  <cp:revision>12</cp:revision>
  <dcterms:created xsi:type="dcterms:W3CDTF">2022-05-12T00:44:00Z</dcterms:created>
  <dcterms:modified xsi:type="dcterms:W3CDTF">2024-01-15T01:12:14Z</dcterms:modified>
</cp:coreProperties>
</file>